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2FA62">
      <w:pPr>
        <w:rPr>
          <w:rFonts w:hint="eastAsia" w:ascii="黑体" w:hAnsi="黑体" w:eastAsia="黑体"/>
          <w:sz w:val="32"/>
          <w:szCs w:val="32"/>
        </w:rPr>
      </w:pPr>
    </w:p>
    <w:p w14:paraId="2DA8580B">
      <w:pPr>
        <w:jc w:val="center"/>
        <w:rPr>
          <w:rFonts w:hint="eastAsia" w:ascii="方正小标宋_GBK" w:hAnsi="宋体" w:eastAsia="方正小标宋_GBK"/>
          <w:sz w:val="44"/>
          <w:szCs w:val="44"/>
        </w:rPr>
      </w:pPr>
    </w:p>
    <w:p w14:paraId="641A7D4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木垒哈萨克自治县第二幼儿园</w:t>
      </w:r>
    </w:p>
    <w:p w14:paraId="7EF3DEA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F55281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24FFCD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6356F3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A86F11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909BE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42965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469881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D52FC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677C6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A9FCD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7F060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880F7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1FBFA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6FAB5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2D4F8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3531F9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CCFFE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02202D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1E2286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9D5156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6672D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C05F331">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AC3C1E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FA6034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BE510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85BE2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DA159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367A3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198CE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785EA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55952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A9BD3E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CF343F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27A59B8">
      <w:r>
        <w:rPr>
          <w:rFonts w:hint="eastAsia" w:ascii="仿宋_GB2312" w:hAnsi="仿宋_GB2312" w:eastAsia="仿宋_GB2312" w:cs="仿宋_GB2312"/>
          <w:sz w:val="32"/>
          <w:szCs w:val="32"/>
        </w:rPr>
        <w:fldChar w:fldCharType="end"/>
      </w:r>
    </w:p>
    <w:p w14:paraId="017A579C">
      <w:pPr>
        <w:rPr>
          <w:rFonts w:ascii="仿宋_GB2312" w:eastAsia="仿宋_GB2312"/>
          <w:sz w:val="32"/>
          <w:szCs w:val="32"/>
        </w:rPr>
      </w:pPr>
      <w:r>
        <w:rPr>
          <w:rFonts w:hint="eastAsia" w:ascii="仿宋_GB2312" w:eastAsia="仿宋_GB2312"/>
          <w:sz w:val="32"/>
          <w:szCs w:val="32"/>
        </w:rPr>
        <w:br w:type="page"/>
      </w:r>
    </w:p>
    <w:p w14:paraId="4CB7E6A9">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92A758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469CAE6">
      <w:pPr>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幼儿园负责为学龄前儿童提供保育和教育服务。</w:t>
      </w:r>
    </w:p>
    <w:p w14:paraId="0750F911">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hint="eastAsia" w:ascii="仿宋_GB2312" w:eastAsia="仿宋_GB2312"/>
          <w:sz w:val="32"/>
          <w:szCs w:val="32"/>
        </w:rPr>
        <w:t>。</w:t>
      </w:r>
    </w:p>
    <w:p w14:paraId="46B0A1B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085495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木垒哈萨克自治县第二幼儿园2023年度，实有人数</w:t>
      </w:r>
      <w:r>
        <w:rPr>
          <w:rFonts w:hint="eastAsia" w:ascii="仿宋_GB2312" w:eastAsia="仿宋_GB2312"/>
          <w:sz w:val="32"/>
          <w:szCs w:val="32"/>
          <w:lang w:val="zh-CN"/>
        </w:rPr>
        <w:t>23</w:t>
      </w:r>
      <w:r>
        <w:rPr>
          <w:rFonts w:hint="eastAsia" w:ascii="仿宋_GB2312" w:eastAsia="仿宋_GB2312"/>
          <w:sz w:val="32"/>
          <w:szCs w:val="32"/>
        </w:rPr>
        <w:t>人，其中：在职人员</w:t>
      </w:r>
      <w:r>
        <w:rPr>
          <w:rFonts w:hint="eastAsia" w:ascii="仿宋_GB2312" w:eastAsia="仿宋_GB2312"/>
          <w:sz w:val="32"/>
          <w:szCs w:val="32"/>
          <w:lang w:val="zh-CN"/>
        </w:rPr>
        <w:t>23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05ED00D6">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仿宋" w:eastAsia="仿宋_GB2312"/>
          <w:sz w:val="32"/>
          <w:szCs w:val="32"/>
        </w:rPr>
        <w:t>教务室、总务室、财务室、德育室</w:t>
      </w:r>
      <w:r>
        <w:rPr>
          <w:rFonts w:hint="eastAsia" w:ascii="仿宋_GB2312" w:hAnsi="宋体" w:eastAsia="仿宋_GB2312" w:cs="宋体"/>
          <w:kern w:val="0"/>
          <w:sz w:val="32"/>
          <w:szCs w:val="32"/>
        </w:rPr>
        <w:t>。</w:t>
      </w:r>
    </w:p>
    <w:p w14:paraId="428DB060">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2B3BFFF">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D97AECA">
      <w:pPr>
        <w:ind w:firstLine="640" w:firstLineChars="200"/>
        <w:jc w:val="left"/>
        <w:rPr>
          <w:rFonts w:ascii="仿宋_GB2312" w:eastAsia="仿宋_GB2312"/>
          <w:sz w:val="32"/>
          <w:szCs w:val="32"/>
        </w:rPr>
      </w:pPr>
      <w:r>
        <w:rPr>
          <w:rFonts w:hint="eastAsia" w:ascii="仿宋_GB2312" w:eastAsia="仿宋_GB2312"/>
          <w:sz w:val="32"/>
          <w:szCs w:val="32"/>
        </w:rPr>
        <w:t>2023年度收入总计516.42万元，其中：本年收入合计496.00万元，使用非财政拨款结余0.00万元，年初结转和结余20.43万元。</w:t>
      </w:r>
    </w:p>
    <w:p w14:paraId="5589AE57">
      <w:pPr>
        <w:ind w:firstLine="640" w:firstLineChars="200"/>
        <w:jc w:val="left"/>
        <w:rPr>
          <w:rFonts w:ascii="仿宋_GB2312" w:eastAsia="仿宋_GB2312"/>
          <w:sz w:val="32"/>
          <w:szCs w:val="32"/>
        </w:rPr>
      </w:pPr>
      <w:r>
        <w:rPr>
          <w:rFonts w:hint="eastAsia" w:ascii="仿宋_GB2312" w:eastAsia="仿宋_GB2312"/>
          <w:sz w:val="32"/>
          <w:szCs w:val="32"/>
        </w:rPr>
        <w:t>2023年度支出总计516.42万元，其中：本年支出合计500.39万元，结余分配0.00万元，年末结转和结余16.03万元。</w:t>
      </w:r>
    </w:p>
    <w:p w14:paraId="7077B6E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增加139.60万元</w:t>
      </w:r>
      <w:r>
        <w:rPr>
          <w:rFonts w:hint="eastAsia" w:ascii="仿宋_GB2312" w:eastAsia="仿宋_GB2312"/>
          <w:sz w:val="32"/>
          <w:szCs w:val="32"/>
        </w:rPr>
        <w:t>，增长37.05%，主要原因是：工资福利支出正常调整标准、调整艰苦边远地区津贴增加。</w:t>
      </w:r>
    </w:p>
    <w:p w14:paraId="16B8CA7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0A1AAF5">
      <w:pPr>
        <w:ind w:firstLine="640" w:firstLineChars="200"/>
        <w:jc w:val="left"/>
        <w:rPr>
          <w:rFonts w:ascii="仿宋_GB2312" w:eastAsia="仿宋_GB2312"/>
          <w:sz w:val="32"/>
          <w:szCs w:val="32"/>
        </w:rPr>
      </w:pPr>
      <w:r>
        <w:rPr>
          <w:rFonts w:hint="eastAsia" w:ascii="仿宋_GB2312" w:eastAsia="仿宋_GB2312"/>
          <w:sz w:val="32"/>
          <w:szCs w:val="32"/>
        </w:rPr>
        <w:t>本年收入496.00万元，其中：财政拨款收入</w:t>
      </w:r>
      <w:r>
        <w:rPr>
          <w:rFonts w:hint="eastAsia" w:ascii="仿宋_GB2312" w:eastAsia="仿宋_GB2312"/>
          <w:sz w:val="32"/>
          <w:szCs w:val="32"/>
          <w:lang w:val="zh-CN"/>
        </w:rPr>
        <w:t>495.94</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00567814">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10EB9DF">
      <w:pPr>
        <w:ind w:firstLine="640" w:firstLineChars="200"/>
        <w:jc w:val="left"/>
        <w:rPr>
          <w:rFonts w:ascii="仿宋_GB2312" w:eastAsia="仿宋_GB2312"/>
          <w:sz w:val="32"/>
          <w:szCs w:val="32"/>
        </w:rPr>
      </w:pPr>
      <w:r>
        <w:rPr>
          <w:rFonts w:hint="eastAsia" w:ascii="仿宋_GB2312" w:eastAsia="仿宋_GB2312"/>
          <w:sz w:val="32"/>
          <w:szCs w:val="32"/>
        </w:rPr>
        <w:t>本年支出500.39万元，其中：基本支出361.80万元，占72.30%；项目支出138.59万元，占27.70%；上缴上级支出0.00万元，占0.00%；经营支出0.00万元，占0.00%；对附属单位补助支出0.00万元，占0.00%。</w:t>
      </w:r>
    </w:p>
    <w:p w14:paraId="09297117">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3D0556C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495.94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495.94</w:t>
      </w:r>
      <w:r>
        <w:rPr>
          <w:rFonts w:hint="eastAsia" w:ascii="仿宋_GB2312" w:eastAsia="仿宋_GB2312"/>
          <w:sz w:val="32"/>
          <w:szCs w:val="32"/>
        </w:rPr>
        <w:t>万元。财政拨款支出总计</w:t>
      </w:r>
      <w:r>
        <w:rPr>
          <w:rFonts w:hint="eastAsia" w:ascii="仿宋_GB2312" w:eastAsia="仿宋_GB2312"/>
          <w:sz w:val="32"/>
          <w:szCs w:val="32"/>
          <w:lang w:val="zh-CN"/>
        </w:rPr>
        <w:t>495.94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495.94</w:t>
      </w:r>
      <w:r>
        <w:rPr>
          <w:rFonts w:hint="eastAsia" w:ascii="仿宋_GB2312" w:eastAsia="仿宋_GB2312"/>
          <w:sz w:val="32"/>
          <w:szCs w:val="32"/>
        </w:rPr>
        <w:t>万元。</w:t>
      </w:r>
    </w:p>
    <w:p w14:paraId="5181C9C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增加131.64万元</w:t>
      </w:r>
      <w:r>
        <w:rPr>
          <w:rFonts w:hint="eastAsia" w:ascii="仿宋_GB2312" w:eastAsia="仿宋_GB2312"/>
          <w:sz w:val="32"/>
          <w:szCs w:val="32"/>
        </w:rPr>
        <w:t>，增长36.14%,主要原因是：工资福利支出正常调整标准、调整艰苦边远地区津贴增加。与年初预算相比，年初预算数</w:t>
      </w:r>
      <w:r>
        <w:rPr>
          <w:rFonts w:hint="eastAsia" w:ascii="仿宋_GB2312" w:eastAsia="仿宋_GB2312"/>
          <w:sz w:val="32"/>
          <w:szCs w:val="32"/>
          <w:lang w:val="zh-CN"/>
        </w:rPr>
        <w:t>378.13</w:t>
      </w:r>
      <w:r>
        <w:rPr>
          <w:rFonts w:hint="eastAsia" w:ascii="仿宋_GB2312" w:eastAsia="仿宋_GB2312"/>
          <w:sz w:val="32"/>
          <w:szCs w:val="32"/>
        </w:rPr>
        <w:t>万元，决算数</w:t>
      </w:r>
      <w:r>
        <w:rPr>
          <w:rFonts w:hint="eastAsia" w:ascii="仿宋_GB2312" w:eastAsia="仿宋_GB2312"/>
          <w:sz w:val="32"/>
          <w:szCs w:val="32"/>
          <w:lang w:val="zh-CN"/>
        </w:rPr>
        <w:t>495.94</w:t>
      </w:r>
      <w:r>
        <w:rPr>
          <w:rFonts w:hint="eastAsia" w:ascii="仿宋_GB2312" w:eastAsia="仿宋_GB2312"/>
          <w:sz w:val="32"/>
          <w:szCs w:val="32"/>
        </w:rPr>
        <w:t>万元，预决算差异率31.16%，主要原因是：追加校园校舍维修维护项目经费。</w:t>
      </w:r>
    </w:p>
    <w:p w14:paraId="7428030A">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924BB6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8B6592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2023年度一般公共预算财政拨款支出495.94万元，占本年支出合计的</w:t>
      </w:r>
      <w:r>
        <w:rPr>
          <w:rFonts w:hint="eastAsia" w:ascii="仿宋_GB2312" w:eastAsia="仿宋_GB2312"/>
          <w:sz w:val="32"/>
          <w:szCs w:val="32"/>
          <w:lang w:val="zh-CN"/>
        </w:rPr>
        <w:t>99.11%</w:t>
      </w:r>
      <w:r>
        <w:rPr>
          <w:rFonts w:hint="eastAsia" w:ascii="仿宋_GB2312" w:eastAsia="仿宋_GB2312"/>
          <w:sz w:val="32"/>
          <w:szCs w:val="32"/>
        </w:rPr>
        <w:t>。与上年相比，</w:t>
      </w:r>
      <w:r>
        <w:rPr>
          <w:rFonts w:hint="eastAsia" w:ascii="仿宋_GB2312" w:eastAsia="仿宋_GB2312"/>
          <w:sz w:val="32"/>
          <w:szCs w:val="32"/>
          <w:lang w:val="zh-CN"/>
        </w:rPr>
        <w:t>增加131.64万元</w:t>
      </w:r>
      <w:r>
        <w:rPr>
          <w:rFonts w:hint="eastAsia" w:ascii="仿宋_GB2312" w:eastAsia="仿宋_GB2312"/>
          <w:sz w:val="32"/>
          <w:szCs w:val="32"/>
        </w:rPr>
        <w:t>，增长36.14%,主要原因是：工资福利支出正常调整标准、调整艰苦边远地区津贴增加。与年初预算相比，年初预算数</w:t>
      </w:r>
      <w:r>
        <w:rPr>
          <w:rFonts w:hint="eastAsia" w:ascii="仿宋_GB2312" w:eastAsia="仿宋_GB2312"/>
          <w:sz w:val="32"/>
          <w:szCs w:val="32"/>
          <w:lang w:val="zh-CN"/>
        </w:rPr>
        <w:t>378.13</w:t>
      </w:r>
      <w:r>
        <w:rPr>
          <w:rFonts w:hint="eastAsia" w:ascii="仿宋_GB2312" w:eastAsia="仿宋_GB2312"/>
          <w:sz w:val="32"/>
          <w:szCs w:val="32"/>
        </w:rPr>
        <w:t>万元，决算数</w:t>
      </w:r>
      <w:r>
        <w:rPr>
          <w:rFonts w:hint="eastAsia" w:ascii="仿宋_GB2312" w:eastAsia="仿宋_GB2312"/>
          <w:sz w:val="32"/>
          <w:szCs w:val="32"/>
          <w:lang w:val="zh-CN"/>
        </w:rPr>
        <w:t>495.94</w:t>
      </w:r>
      <w:r>
        <w:rPr>
          <w:rFonts w:hint="eastAsia" w:ascii="仿宋_GB2312" w:eastAsia="仿宋_GB2312"/>
          <w:sz w:val="32"/>
          <w:szCs w:val="32"/>
        </w:rPr>
        <w:t>万元，预决算差异率</w:t>
      </w:r>
      <w:r>
        <w:rPr>
          <w:rFonts w:hint="eastAsia" w:ascii="仿宋_GB2312" w:eastAsia="仿宋_GB2312"/>
          <w:sz w:val="32"/>
          <w:szCs w:val="32"/>
          <w:lang w:val="zh-CN"/>
        </w:rPr>
        <w:t>31.16%</w:t>
      </w:r>
      <w:r>
        <w:rPr>
          <w:rFonts w:hint="eastAsia" w:ascii="仿宋_GB2312" w:eastAsia="仿宋_GB2312"/>
          <w:sz w:val="32"/>
          <w:szCs w:val="32"/>
        </w:rPr>
        <w:t>，主要原因是：追加校园校舍维修维护项目经费。</w:t>
      </w:r>
    </w:p>
    <w:p w14:paraId="2AA129F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FBA9FE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495.94</w:t>
      </w:r>
      <w:r>
        <w:rPr>
          <w:rFonts w:ascii="仿宋_GB2312" w:eastAsia="仿宋_GB2312"/>
          <w:kern w:val="2"/>
          <w:sz w:val="32"/>
          <w:szCs w:val="32"/>
          <w:lang w:val="zh-CN"/>
        </w:rPr>
        <w:t>万元，占</w:t>
      </w:r>
      <w:r>
        <w:rPr>
          <w:rFonts w:hint="eastAsia" w:ascii="仿宋_GB2312" w:eastAsia="仿宋_GB2312"/>
          <w:kern w:val="2"/>
          <w:sz w:val="32"/>
          <w:szCs w:val="32"/>
          <w:lang w:val="zh-CN"/>
        </w:rPr>
        <w:t>100.00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ADCFA8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DA47C52">
      <w:pPr>
        <w:ind w:firstLine="640" w:firstLineChars="200"/>
        <w:jc w:val="left"/>
        <w:rPr>
          <w:rFonts w:ascii="仿宋_GB2312" w:eastAsia="仿宋_GB2312"/>
          <w:sz w:val="32"/>
          <w:szCs w:val="32"/>
        </w:rPr>
      </w:pPr>
      <w:r>
        <w:rPr>
          <w:rFonts w:hint="eastAsia" w:ascii="仿宋_GB2312" w:eastAsia="仿宋_GB2312"/>
          <w:sz w:val="32"/>
          <w:szCs w:val="32"/>
        </w:rPr>
        <w:t>1.教育支出（类）普通教育（款）学前教育（项）:支出决算数为495.94万元，比上年决算增加131.6</w:t>
      </w:r>
      <w:r>
        <w:rPr>
          <w:rFonts w:hint="eastAsia" w:ascii="仿宋_GB2312" w:eastAsia="仿宋_GB2312"/>
          <w:sz w:val="32"/>
          <w:szCs w:val="32"/>
          <w:lang w:val="en-US" w:eastAsia="zh-CN"/>
        </w:rPr>
        <w:t>4</w:t>
      </w:r>
      <w:bookmarkStart w:id="48" w:name="_GoBack"/>
      <w:bookmarkEnd w:id="48"/>
      <w:r>
        <w:rPr>
          <w:rFonts w:hint="eastAsia" w:ascii="仿宋_GB2312" w:eastAsia="仿宋_GB2312"/>
          <w:sz w:val="32"/>
          <w:szCs w:val="32"/>
        </w:rPr>
        <w:t>万元，增长36.13%，主要原因是：工资福利支出正常调整标准、调整艰苦边远地区津贴增加。</w:t>
      </w:r>
    </w:p>
    <w:p w14:paraId="72189E7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BD3EBC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357.34万元，其中：人员经费354.39万元，包括：基本工资、津贴补贴、奖金、机关事业单位基本养老保险缴费、职工基本医疗保险缴费、其他社会保障缴费、住房公积金、奖励金。</w:t>
      </w:r>
    </w:p>
    <w:p w14:paraId="7207E60A">
      <w:pPr>
        <w:ind w:firstLine="640" w:firstLineChars="200"/>
        <w:jc w:val="left"/>
        <w:rPr>
          <w:rFonts w:ascii="仿宋_GB2312" w:eastAsia="仿宋_GB2312"/>
          <w:sz w:val="32"/>
          <w:szCs w:val="32"/>
        </w:rPr>
      </w:pPr>
      <w:r>
        <w:rPr>
          <w:rFonts w:hint="eastAsia" w:ascii="仿宋_GB2312" w:eastAsia="仿宋_GB2312"/>
          <w:sz w:val="32"/>
          <w:szCs w:val="32"/>
        </w:rPr>
        <w:t>公用经费2.95万元，包括：电费、邮电费、取暖费。</w:t>
      </w:r>
    </w:p>
    <w:p w14:paraId="160C17F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3F7A08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14:paraId="29CE1B5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04BBB6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6E585E0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9B3AE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4CCF6E0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549FB01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886DAA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A9831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C3492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369E9B7">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532BB47">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0CD71A4">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2023年度木垒哈萨克自治县第二幼儿园（事业单位）公用经费支出2.95万元，比上年增加2.02万元，增长217.20%，主要原因是：本年幼儿园采暖费，邮电费增加。</w:t>
      </w:r>
    </w:p>
    <w:p w14:paraId="6008331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7D1B4A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2023年度政府采购支出总额7.32万元，其中：政府采购货物支出4.87万元、政府采购工程支出0.00万元、政府采购服务支出2.45万元。</w:t>
      </w:r>
    </w:p>
    <w:p w14:paraId="674D47C2">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授予中小企业合同金额7.32万元，占政府采购支出总额的100.00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，其中：授予小微企业合同金额7.32万元，占政府采购支出总额的100.00</w:t>
      </w:r>
      <w:r>
        <w:rPr>
          <w:rFonts w:ascii="仿宋_GB2312" w:eastAsia="仿宋_GB2312"/>
          <w:sz w:val="32"/>
          <w:szCs w:val="32"/>
        </w:rPr>
        <w:t>%</w:t>
      </w:r>
      <w:r>
        <w:rPr>
          <w:rFonts w:hint="eastAsia" w:ascii="仿宋_GB2312" w:eastAsia="仿宋_GB2312"/>
          <w:sz w:val="32"/>
          <w:szCs w:val="32"/>
        </w:rPr>
        <w:t>。</w:t>
      </w:r>
    </w:p>
    <w:p w14:paraId="55FF7CF7">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2FCE95B4">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2,023.26万元，房屋6,116.00平方米，价值1,803.41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5A5DFEE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0D0EB7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516.42</w:t>
      </w:r>
      <w:r>
        <w:rPr>
          <w:rFonts w:hint="eastAsia" w:ascii="仿宋_GB2312" w:eastAsia="仿宋_GB2312"/>
          <w:sz w:val="32"/>
          <w:szCs w:val="32"/>
        </w:rPr>
        <w:t>万元，实际执行总额</w:t>
      </w:r>
      <w:r>
        <w:rPr>
          <w:rFonts w:ascii="仿宋_GB2312" w:eastAsia="仿宋_GB2312"/>
          <w:sz w:val="32"/>
          <w:szCs w:val="32"/>
        </w:rPr>
        <w:t>500.39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结合我校实际情合理分配资金，以达到合理高效地运用资金、提升资金的产出效果、节约成本与资源、提高部门的办事效率的目的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未定期或者不定期对资产进行盘点、对账。出现资产盘盈盘亏，报废的因各种原因未及时做资产减少，出现账实不符和账账不符的现象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从取得到退出的全过程实施动态管理；应当定期或者不定期对资产进行盘点、对账应当按照财务、会计和资产管理制度有关规定处理，资产管理要做到四相符：账表相符、账账相符、帐卡相符、账实相符</w:t>
      </w:r>
      <w:r>
        <w:rPr>
          <w:rFonts w:hint="eastAsia" w:ascii="仿宋_GB2312" w:eastAsia="仿宋_GB2312"/>
          <w:sz w:val="32"/>
          <w:szCs w:val="32"/>
        </w:rPr>
        <w:t>。具体项目自评情况附绩效自评表及自评报告。</w:t>
      </w:r>
    </w:p>
    <w:tbl>
      <w:tblPr>
        <w:tblStyle w:val="9"/>
        <w:tblW w:w="5000" w:type="pct"/>
        <w:tblInd w:w="0" w:type="dxa"/>
        <w:tblLayout w:type="autofit"/>
        <w:tblCellMar>
          <w:top w:w="0" w:type="dxa"/>
          <w:left w:w="108" w:type="dxa"/>
          <w:bottom w:w="0" w:type="dxa"/>
          <w:right w:w="108" w:type="dxa"/>
        </w:tblCellMar>
      </w:tblPr>
      <w:tblGrid>
        <w:gridCol w:w="1816"/>
        <w:gridCol w:w="1016"/>
        <w:gridCol w:w="1233"/>
        <w:gridCol w:w="858"/>
        <w:gridCol w:w="1083"/>
        <w:gridCol w:w="726"/>
        <w:gridCol w:w="987"/>
        <w:gridCol w:w="803"/>
      </w:tblGrid>
      <w:tr w14:paraId="28231D96">
        <w:tblPrEx>
          <w:tblCellMar>
            <w:top w:w="0" w:type="dxa"/>
            <w:left w:w="108" w:type="dxa"/>
            <w:bottom w:w="0" w:type="dxa"/>
            <w:right w:w="108" w:type="dxa"/>
          </w:tblCellMar>
        </w:tblPrEx>
        <w:trPr>
          <w:trHeight w:val="52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9C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4179E853">
        <w:tblPrEx>
          <w:tblCellMar>
            <w:top w:w="0" w:type="dxa"/>
            <w:left w:w="108" w:type="dxa"/>
            <w:bottom w:w="0" w:type="dxa"/>
            <w:right w:w="108" w:type="dxa"/>
          </w:tblCellMar>
        </w:tblPrEx>
        <w:trPr>
          <w:trHeight w:val="36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576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876701D">
        <w:tblPrEx>
          <w:tblCellMar>
            <w:top w:w="0" w:type="dxa"/>
            <w:left w:w="108" w:type="dxa"/>
            <w:bottom w:w="0" w:type="dxa"/>
            <w:right w:w="108" w:type="dxa"/>
          </w:tblCellMar>
        </w:tblPrEx>
        <w:trPr>
          <w:trHeight w:val="66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699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4024"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69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木垒县第二双语幼儿园</w:t>
            </w:r>
          </w:p>
        </w:tc>
      </w:tr>
      <w:tr w14:paraId="2AD22925">
        <w:tblPrEx>
          <w:tblCellMar>
            <w:top w:w="0" w:type="dxa"/>
            <w:left w:w="108" w:type="dxa"/>
            <w:bottom w:w="0" w:type="dxa"/>
            <w:right w:w="108" w:type="dxa"/>
          </w:tblCellMar>
        </w:tblPrEx>
        <w:trPr>
          <w:trHeight w:val="570"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45A8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C38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D32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756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3B0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146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B35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9F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FE00DB4">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2EDF6">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393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956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29.18</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744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138.59</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1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138.59</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7F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28A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E09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9EB1F5E">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A2DC1">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548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F6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F21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447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774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934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E3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A49411C">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4263C">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F64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D5F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25F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77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0C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BD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84C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4E04936">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FF613">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5B2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C2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319.76</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4842">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377.83</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E58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361.80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617EF">
            <w:pPr>
              <w:jc w:val="center"/>
              <w:rPr>
                <w:rFonts w:hint="eastAsia" w:ascii="宋体" w:hAnsi="宋体" w:cs="宋体"/>
                <w:color w:val="000000"/>
                <w:sz w:val="20"/>
                <w:szCs w:val="20"/>
              </w:rPr>
            </w:pPr>
            <w:r>
              <w:rPr>
                <w:rFonts w:hint="eastAsia"/>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39BF">
            <w:pPr>
              <w:jc w:val="center"/>
              <w:rPr>
                <w:rFonts w:hint="eastAsia" w:ascii="宋体" w:hAnsi="宋体" w:cs="宋体"/>
                <w:color w:val="000000"/>
                <w:sz w:val="20"/>
                <w:szCs w:val="20"/>
              </w:rPr>
            </w:pPr>
            <w:r>
              <w:rPr>
                <w:rFonts w:hint="eastAsia"/>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715D">
            <w:pPr>
              <w:jc w:val="center"/>
              <w:rPr>
                <w:rFonts w:hint="eastAsia" w:ascii="宋体" w:hAnsi="宋体" w:cs="宋体"/>
                <w:color w:val="000000"/>
                <w:sz w:val="20"/>
                <w:szCs w:val="20"/>
              </w:rPr>
            </w:pPr>
            <w:r>
              <w:rPr>
                <w:rFonts w:hint="eastAsia"/>
              </w:rPr>
              <w:t>-</w:t>
            </w:r>
          </w:p>
        </w:tc>
      </w:tr>
      <w:tr w14:paraId="3C7B32D2">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29ED1">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BB1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0C7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BB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1C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E0354">
            <w:pPr>
              <w:jc w:val="center"/>
              <w:rPr>
                <w:rFonts w:hint="eastAsia" w:ascii="宋体" w:hAnsi="宋体" w:cs="宋体"/>
                <w:color w:val="000000"/>
                <w:sz w:val="20"/>
                <w:szCs w:val="20"/>
              </w:rPr>
            </w:pPr>
            <w:r>
              <w:rPr>
                <w:rFonts w:hint="eastAsia"/>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9FAB">
            <w:pPr>
              <w:jc w:val="center"/>
              <w:rPr>
                <w:rFonts w:hint="eastAsia" w:ascii="宋体" w:hAnsi="宋体" w:cs="宋体"/>
                <w:color w:val="000000"/>
                <w:sz w:val="20"/>
                <w:szCs w:val="20"/>
              </w:rPr>
            </w:pPr>
            <w:r>
              <w:rPr>
                <w:rFonts w:hint="eastAsia"/>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A368">
            <w:pPr>
              <w:jc w:val="center"/>
              <w:rPr>
                <w:rFonts w:hint="eastAsia" w:ascii="宋体" w:hAnsi="宋体" w:cs="宋体"/>
                <w:color w:val="000000"/>
                <w:sz w:val="20"/>
                <w:szCs w:val="20"/>
              </w:rPr>
            </w:pPr>
            <w:r>
              <w:rPr>
                <w:rFonts w:hint="eastAsia"/>
              </w:rPr>
              <w:t>-</w:t>
            </w:r>
          </w:p>
        </w:tc>
      </w:tr>
      <w:tr w14:paraId="7C723153">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14BF6">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C8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61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378.13</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8CC21">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516.42</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01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500.39</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C8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992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E6F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1782BE2">
        <w:tblPrEx>
          <w:tblCellMar>
            <w:top w:w="0" w:type="dxa"/>
            <w:left w:w="108" w:type="dxa"/>
            <w:bottom w:w="0" w:type="dxa"/>
            <w:right w:w="108" w:type="dxa"/>
          </w:tblCellMar>
        </w:tblPrEx>
        <w:trPr>
          <w:trHeight w:val="705"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360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183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3C7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18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F9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2A5762E">
        <w:tblPrEx>
          <w:tblCellMar>
            <w:top w:w="0" w:type="dxa"/>
            <w:left w:w="108" w:type="dxa"/>
            <w:bottom w:w="0" w:type="dxa"/>
            <w:right w:w="108" w:type="dxa"/>
          </w:tblCellMar>
        </w:tblPrEx>
        <w:trPr>
          <w:trHeight w:val="200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B1750">
            <w:pPr>
              <w:jc w:val="center"/>
              <w:rPr>
                <w:rFonts w:hint="eastAsia" w:ascii="宋体" w:hAnsi="宋体" w:cs="宋体"/>
                <w:color w:val="000000"/>
                <w:sz w:val="20"/>
                <w:szCs w:val="20"/>
              </w:rPr>
            </w:pPr>
          </w:p>
        </w:tc>
        <w:tc>
          <w:tcPr>
            <w:tcW w:w="18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CBC6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目标3：按照学前教育课程计划，开齐课程，开足课时，认真实施幼儿园的教育教学管理，全面推进素质教育，全面提高教育教学质量；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目标4：负责本校财务和基建管理，筹措资金，改善办学条件等工作；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目标5：及时、足额的发放在职职工工资、缴纳社保等人员经费、独生子女奖励金、学生助学金、保障学校的正常运行。</w:t>
            </w:r>
          </w:p>
        </w:tc>
        <w:tc>
          <w:tcPr>
            <w:tcW w:w="21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8D8D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截止2023年12月31日，我单位已完成学前教育入学数量344人，开展教研活动数量50次，开展班主任、德育教师国培培训数量10次，开展教师送教下乡、外出讲大赛课、外出听课次数10次，保障片区适龄幼儿及时入园</w:t>
            </w:r>
          </w:p>
        </w:tc>
      </w:tr>
      <w:tr w14:paraId="61856169">
        <w:tblPrEx>
          <w:tblCellMar>
            <w:top w:w="0" w:type="dxa"/>
            <w:left w:w="108" w:type="dxa"/>
            <w:bottom w:w="0" w:type="dxa"/>
            <w:right w:w="108" w:type="dxa"/>
          </w:tblCellMar>
        </w:tblPrEx>
        <w:trPr>
          <w:trHeight w:val="58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6C5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D87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F2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F7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E1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BDE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1C1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C50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657AE50">
        <w:tblPrEx>
          <w:tblCellMar>
            <w:top w:w="0" w:type="dxa"/>
            <w:left w:w="108" w:type="dxa"/>
            <w:bottom w:w="0" w:type="dxa"/>
            <w:right w:w="108" w:type="dxa"/>
          </w:tblCellMar>
        </w:tblPrEx>
        <w:trPr>
          <w:trHeight w:val="740"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C96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5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1F8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317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DC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&gt;=23人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B3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木垒哈萨克自治县第二幼儿园机构改革方案</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92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DE2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23人</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8AD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07B17705">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8694C">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0EECB">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3E9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C27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&gt;=6064平方米</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71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木垒哈萨克自治县第二幼儿园机构改革方案</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C7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34B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6064平方米</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FC0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320AB572">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345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74D0A">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39D45">
            <w:pPr>
              <w:jc w:val="center"/>
              <w:rPr>
                <w:rFonts w:hint="eastAsia" w:ascii="宋体" w:hAnsi="宋体" w:cs="宋体"/>
                <w:color w:val="000000"/>
                <w:sz w:val="20"/>
                <w:szCs w:val="20"/>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5593A">
            <w:pPr>
              <w:jc w:val="center"/>
              <w:rPr>
                <w:rFonts w:hint="eastAsia" w:ascii="宋体" w:hAnsi="宋体" w:cs="宋体"/>
                <w:color w:val="000000"/>
                <w:sz w:val="20"/>
                <w:szCs w:val="20"/>
              </w:rPr>
            </w:pP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5084E">
            <w:pPr>
              <w:jc w:val="center"/>
              <w:rPr>
                <w:rFonts w:hint="eastAsia" w:ascii="宋体" w:hAnsi="宋体" w:cs="宋体"/>
                <w:color w:val="000000"/>
                <w:sz w:val="20"/>
                <w:szCs w:val="20"/>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64954">
            <w:pPr>
              <w:jc w:val="center"/>
              <w:rPr>
                <w:rFonts w:hint="eastAsia" w:ascii="宋体" w:hAnsi="宋体" w:cs="宋体"/>
                <w:color w:val="000000"/>
                <w:sz w:val="20"/>
                <w:szCs w:val="20"/>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F5610">
            <w:pPr>
              <w:jc w:val="center"/>
              <w:rPr>
                <w:rFonts w:hint="eastAsia" w:ascii="宋体" w:hAnsi="宋体" w:cs="宋体"/>
                <w:color w:val="000000"/>
                <w:sz w:val="20"/>
                <w:szCs w:val="20"/>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E2960">
            <w:pPr>
              <w:jc w:val="center"/>
              <w:rPr>
                <w:rFonts w:hint="eastAsia" w:ascii="宋体" w:hAnsi="宋体" w:cs="宋体"/>
                <w:color w:val="000000"/>
                <w:sz w:val="20"/>
                <w:szCs w:val="20"/>
              </w:rPr>
            </w:pPr>
          </w:p>
        </w:tc>
      </w:tr>
      <w:tr w14:paraId="05EE5174">
        <w:tblPrEx>
          <w:tblCellMar>
            <w:top w:w="0" w:type="dxa"/>
            <w:left w:w="108" w:type="dxa"/>
            <w:bottom w:w="0" w:type="dxa"/>
            <w:right w:w="108" w:type="dxa"/>
          </w:tblCellMar>
        </w:tblPrEx>
        <w:trPr>
          <w:trHeight w:val="740"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C23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F2949">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B48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管理学生人数</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7BB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&gt;=382人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585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F90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77C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382人</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82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14:paraId="0FDC9296">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1390E">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FEA5C">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50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开展教师培训量</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06D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EEF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419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781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03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694505F">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76046">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9620F">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9C1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教学质量分析会</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6A3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76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521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F08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0F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14:paraId="0273BBC5">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14A67">
            <w:pPr>
              <w:jc w:val="center"/>
              <w:rPr>
                <w:rFonts w:hint="eastAsia" w:ascii="宋体" w:hAnsi="宋体" w:cs="宋体"/>
                <w:color w:val="000000"/>
                <w:sz w:val="20"/>
                <w:szCs w:val="20"/>
              </w:rPr>
            </w:pPr>
          </w:p>
        </w:tc>
        <w:tc>
          <w:tcPr>
            <w:tcW w:w="5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9D8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9B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教师培训参培率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552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57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056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646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5CD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0BF0F74">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482E6">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485B4">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42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幼儿出勤率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B8F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06B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0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421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7C0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55FE3745">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FFE02">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562EB">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674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饮食安全保障率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0BE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4CF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9E5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8A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8D9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67446065">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28DBB">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123F8">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EC2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2D8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FA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5C5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67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97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001B1F78">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5DF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4ACB">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BE8C">
            <w:pPr>
              <w:jc w:val="center"/>
              <w:rPr>
                <w:rFonts w:hint="eastAsia" w:ascii="宋体" w:hAnsi="宋体" w:cs="宋体"/>
                <w:color w:val="000000"/>
                <w:sz w:val="20"/>
                <w:szCs w:val="20"/>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56D6">
            <w:pPr>
              <w:jc w:val="center"/>
              <w:rPr>
                <w:rFonts w:hint="eastAsia" w:ascii="宋体" w:hAnsi="宋体" w:cs="宋体"/>
                <w:color w:val="000000"/>
                <w:sz w:val="20"/>
                <w:szCs w:val="20"/>
              </w:rPr>
            </w:pP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37F2">
            <w:pPr>
              <w:jc w:val="center"/>
              <w:rPr>
                <w:rFonts w:hint="eastAsia" w:ascii="宋体" w:hAnsi="宋体" w:cs="宋体"/>
                <w:color w:val="000000"/>
                <w:sz w:val="20"/>
                <w:szCs w:val="20"/>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412E4">
            <w:pPr>
              <w:jc w:val="center"/>
              <w:rPr>
                <w:rFonts w:hint="eastAsia" w:ascii="宋体" w:hAnsi="宋体" w:cs="宋体"/>
                <w:color w:val="000000"/>
                <w:sz w:val="20"/>
                <w:szCs w:val="20"/>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A2201">
            <w:pPr>
              <w:jc w:val="center"/>
              <w:rPr>
                <w:rFonts w:hint="eastAsia" w:ascii="宋体" w:hAnsi="宋体" w:cs="宋体"/>
                <w:color w:val="000000"/>
                <w:sz w:val="20"/>
                <w:szCs w:val="20"/>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B3573">
            <w:pPr>
              <w:jc w:val="center"/>
              <w:rPr>
                <w:rFonts w:hint="eastAsia" w:ascii="宋体" w:hAnsi="宋体" w:cs="宋体"/>
                <w:color w:val="000000"/>
                <w:sz w:val="20"/>
                <w:szCs w:val="20"/>
              </w:rPr>
            </w:pPr>
          </w:p>
        </w:tc>
      </w:tr>
      <w:tr w14:paraId="34859344">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13C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8E431">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03782">
            <w:pPr>
              <w:jc w:val="center"/>
              <w:rPr>
                <w:rFonts w:hint="eastAsia" w:ascii="宋体" w:hAnsi="宋体" w:cs="宋体"/>
                <w:color w:val="000000"/>
                <w:sz w:val="20"/>
                <w:szCs w:val="20"/>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FBE73">
            <w:pPr>
              <w:jc w:val="center"/>
              <w:rPr>
                <w:rFonts w:hint="eastAsia" w:ascii="宋体" w:hAnsi="宋体" w:cs="宋体"/>
                <w:color w:val="000000"/>
                <w:sz w:val="20"/>
                <w:szCs w:val="20"/>
              </w:rPr>
            </w:pP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66E9">
            <w:pPr>
              <w:jc w:val="center"/>
              <w:rPr>
                <w:rFonts w:hint="eastAsia" w:ascii="宋体" w:hAnsi="宋体" w:cs="宋体"/>
                <w:color w:val="000000"/>
                <w:sz w:val="20"/>
                <w:szCs w:val="20"/>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CC284">
            <w:pPr>
              <w:jc w:val="center"/>
              <w:rPr>
                <w:rFonts w:hint="eastAsia" w:ascii="宋体" w:hAnsi="宋体" w:cs="宋体"/>
                <w:color w:val="000000"/>
                <w:sz w:val="20"/>
                <w:szCs w:val="20"/>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466DC">
            <w:pPr>
              <w:jc w:val="center"/>
              <w:rPr>
                <w:rFonts w:hint="eastAsia" w:ascii="宋体" w:hAnsi="宋体" w:cs="宋体"/>
                <w:color w:val="000000"/>
                <w:sz w:val="20"/>
                <w:szCs w:val="20"/>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B9442">
            <w:pPr>
              <w:jc w:val="center"/>
              <w:rPr>
                <w:rFonts w:hint="eastAsia" w:ascii="宋体" w:hAnsi="宋体" w:cs="宋体"/>
                <w:color w:val="000000"/>
                <w:sz w:val="20"/>
                <w:szCs w:val="20"/>
              </w:rPr>
            </w:pPr>
          </w:p>
        </w:tc>
      </w:tr>
      <w:tr w14:paraId="6F20A91E">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A9B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6DCA0">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02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家长满意度</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04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9D1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91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E9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77C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bl>
    <w:p w14:paraId="52FBE182">
      <w:pPr>
        <w:ind w:firstLine="640" w:firstLineChars="200"/>
        <w:jc w:val="left"/>
        <w:rPr>
          <w:rFonts w:ascii="仿宋_GB2312" w:eastAsia="仿宋_GB2312"/>
          <w:sz w:val="32"/>
          <w:szCs w:val="32"/>
        </w:rPr>
      </w:pPr>
    </w:p>
    <w:p w14:paraId="1C845E6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B84475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D06C711">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69B4B4A6">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61D91B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8A9B3B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01B5F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319DFA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6C4F9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8D28F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C0827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BC2CA5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F0245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79F0B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201DE0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792B87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8F233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D0EA4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B4EE26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6022C0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D73C253">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C7152E8">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35D7457">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5C3A770">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F6308AC">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1DC7DF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638703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203DE0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9AD3A9B">
      <w:pPr>
        <w:ind w:firstLine="640" w:firstLineChars="200"/>
        <w:rPr>
          <w:rFonts w:ascii="仿宋_GB2312" w:eastAsia="仿宋_GB2312"/>
          <w:sz w:val="32"/>
          <w:szCs w:val="32"/>
        </w:rPr>
      </w:pPr>
    </w:p>
    <w:p w14:paraId="08291D7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2A7D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6F47E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96F47E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4241E1"/>
    <w:rsid w:val="000D623B"/>
    <w:rsid w:val="00143DA4"/>
    <w:rsid w:val="00213C59"/>
    <w:rsid w:val="003210CE"/>
    <w:rsid w:val="00354D24"/>
    <w:rsid w:val="004241E1"/>
    <w:rsid w:val="004A5732"/>
    <w:rsid w:val="0051375A"/>
    <w:rsid w:val="005835D2"/>
    <w:rsid w:val="005B4F1D"/>
    <w:rsid w:val="006B5C69"/>
    <w:rsid w:val="006F175F"/>
    <w:rsid w:val="008043BA"/>
    <w:rsid w:val="00B70D59"/>
    <w:rsid w:val="00B92876"/>
    <w:rsid w:val="00C6420D"/>
    <w:rsid w:val="00C90F3C"/>
    <w:rsid w:val="00F01A4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F17C13"/>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E045F1"/>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5B6F0B"/>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8789A"/>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3753CA"/>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4538</Words>
  <Characters>5226</Characters>
  <Lines>52</Lines>
  <Paragraphs>14</Paragraphs>
  <TotalTime>15</TotalTime>
  <ScaleCrop>false</ScaleCrop>
  <LinksUpToDate>false</LinksUpToDate>
  <CharactersWithSpaces>5241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2024-11-12T10:30:24Z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